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33339A"/>
          <w:sz w:val="28"/>
          <w:szCs w:val="28"/>
        </w:rPr>
      </w:pPr>
      <w:r>
        <w:rPr>
          <w:rFonts w:ascii="ComicSansMS" w:hAnsi="ComicSansMS" w:cs="ComicSansMS"/>
          <w:color w:val="33339A"/>
          <w:sz w:val="28"/>
          <w:szCs w:val="28"/>
        </w:rPr>
        <w:t>Le coin regroupement</w:t>
      </w:r>
    </w:p>
    <w:p w:rsidR="00560E97" w:rsidRDefault="00A55CE6" w:rsidP="00560E9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33339A"/>
          <w:sz w:val="28"/>
          <w:szCs w:val="28"/>
        </w:rPr>
      </w:pPr>
      <w:r>
        <w:rPr>
          <w:rFonts w:ascii="ComicSansMS" w:hAnsi="ComicSansMS" w:cs="ComicSansMS"/>
          <w:sz w:val="28"/>
          <w:szCs w:val="28"/>
        </w:rPr>
        <w:t xml:space="preserve">Vincent Paré, </w:t>
      </w:r>
      <w:r>
        <w:rPr>
          <w:rFonts w:ascii="ComicSansMS" w:hAnsi="ComicSansMS" w:cs="ComicSansMS"/>
          <w:sz w:val="24"/>
          <w:szCs w:val="24"/>
        </w:rPr>
        <w:t>formateur IUFM La Roche/Yon</w:t>
      </w:r>
      <w:bookmarkStart w:id="0" w:name="_GoBack"/>
      <w:bookmarkEnd w:id="0"/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33339A"/>
          <w:sz w:val="28"/>
          <w:szCs w:val="28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ComicSansMS" w:hAnsi="ComicSansMS" w:cs="ComicSansMS"/>
          <w:color w:val="000000"/>
          <w:sz w:val="24"/>
          <w:szCs w:val="24"/>
        </w:rPr>
        <w:t>Le coin regroupement est fait pour regrouper. Il représente l’espace de début d’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activités, </w:t>
      </w:r>
      <w:r>
        <w:rPr>
          <w:rFonts w:ascii="ComicSansMS" w:hAnsi="ComicSansMS" w:cs="ComicSansMS"/>
          <w:color w:val="000000"/>
          <w:sz w:val="24"/>
          <w:szCs w:val="24"/>
        </w:rPr>
        <w:t>le lieu de transition des rituels, et le coin qui institutionnalis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e la fin de journée. Or ce coin </w:t>
      </w:r>
      <w:r>
        <w:rPr>
          <w:rFonts w:ascii="ComicSansMS" w:hAnsi="ComicSansMS" w:cs="ComicSansMS"/>
          <w:color w:val="000000"/>
          <w:sz w:val="24"/>
          <w:szCs w:val="24"/>
        </w:rPr>
        <w:t>regroupement est toujours relégué dans un renfoncement ou confiné le long d’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un mur de classe : </w:t>
      </w:r>
      <w:r>
        <w:rPr>
          <w:rFonts w:ascii="ComicSansMS" w:hAnsi="ComicSansMS" w:cs="ComicSansMS"/>
          <w:color w:val="000000"/>
          <w:sz w:val="24"/>
          <w:szCs w:val="24"/>
        </w:rPr>
        <w:t>l’espace central n’est jamais au centre ! D’où cette volonté de f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ixer le coin regroupement comme </w:t>
      </w:r>
      <w:r>
        <w:rPr>
          <w:rFonts w:ascii="ComicSansMS" w:hAnsi="ComicSansMS" w:cs="ComicSansMS"/>
          <w:color w:val="000000"/>
          <w:sz w:val="24"/>
          <w:szCs w:val="24"/>
        </w:rPr>
        <w:t>lieu de rencontre, élément charnière de tous les temps d’apprentissage, es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pace qui embrasse </w:t>
      </w:r>
      <w:r>
        <w:rPr>
          <w:rFonts w:ascii="ComicSansMS" w:hAnsi="ComicSansMS" w:cs="ComicSansMS"/>
          <w:color w:val="000000"/>
          <w:sz w:val="24"/>
          <w:szCs w:val="24"/>
        </w:rPr>
        <w:t>l’ensemble des coins de la classe.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ComicSansMS" w:hAnsi="ComicSansMS" w:cs="ComicSansMS"/>
          <w:color w:val="000000"/>
          <w:sz w:val="24"/>
          <w:szCs w:val="24"/>
        </w:rPr>
        <w:t>Les élèves participent aux rituels d’entrée, puis vont s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e disperser dans les différents </w:t>
      </w:r>
      <w:r>
        <w:rPr>
          <w:rFonts w:ascii="ComicSansMS" w:hAnsi="ComicSansMS" w:cs="ComicSansMS"/>
          <w:color w:val="000000"/>
          <w:sz w:val="24"/>
          <w:szCs w:val="24"/>
        </w:rPr>
        <w:t>coins en fonction des consignes de l’enseignante. La journée d’app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rentissage se donne à lire dans </w:t>
      </w:r>
      <w:r>
        <w:rPr>
          <w:rFonts w:ascii="ComicSansMS" w:hAnsi="ComicSansMS" w:cs="ComicSansMS"/>
          <w:color w:val="000000"/>
          <w:sz w:val="24"/>
          <w:szCs w:val="24"/>
        </w:rPr>
        <w:t>l’espace classe, à partir du lieu central qu’est le regroupement.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  <w:r w:rsidRPr="00560E97">
        <w:rPr>
          <w:rFonts w:ascii="ComicSansMS" w:hAnsi="ComicSansMS" w:cs="ComicSansMS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241321" cy="2162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1" cy="21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SansMS" w:hAnsi="ComicSansMS" w:cs="ComicSansMS"/>
          <w:noProof/>
          <w:color w:val="000000"/>
          <w:sz w:val="24"/>
          <w:szCs w:val="24"/>
          <w:lang w:eastAsia="fr-FR"/>
        </w:rPr>
        <w:t xml:space="preserve">   </w:t>
      </w:r>
      <w:r w:rsidRPr="00560E97">
        <w:rPr>
          <w:rFonts w:ascii="ComicSansMS" w:hAnsi="ComicSansMS" w:cs="ComicSansMS"/>
          <w:noProof/>
          <w:color w:val="000000"/>
          <w:sz w:val="24"/>
          <w:szCs w:val="24"/>
          <w:lang w:eastAsia="fr-FR"/>
        </w:rPr>
        <w:drawing>
          <wp:inline distT="0" distB="0" distL="0" distR="0" wp14:anchorId="6A0B1A44" wp14:editId="46FB9B43">
            <wp:extent cx="3267075" cy="24193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ComicSansMS" w:hAnsi="ComicSansMS" w:cs="ComicSansMS"/>
          <w:color w:val="000000"/>
          <w:sz w:val="24"/>
          <w:szCs w:val="24"/>
        </w:rPr>
        <w:t>Un tableau mobile double face sépare le coin reg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roupement du coin graphisme. La </w:t>
      </w:r>
      <w:r>
        <w:rPr>
          <w:rFonts w:ascii="ComicSansMS" w:hAnsi="ComicSansMS" w:cs="ComicSansMS"/>
          <w:color w:val="000000"/>
          <w:sz w:val="24"/>
          <w:szCs w:val="24"/>
        </w:rPr>
        <w:t>petitesse de l’espace affichage présente deux intérêts majeurs :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ComicSansMS" w:hAnsi="ComicSansMS" w:cs="ComicSansMS"/>
          <w:color w:val="000000"/>
          <w:sz w:val="24"/>
          <w:szCs w:val="24"/>
        </w:rPr>
        <w:t>obliger l’enseignant à sélectionner des documents en lien av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ec les apprentissages </w:t>
      </w:r>
      <w:r>
        <w:rPr>
          <w:rFonts w:ascii="ComicSansMS" w:hAnsi="ComicSansMS" w:cs="ComicSansMS"/>
          <w:color w:val="000000"/>
          <w:sz w:val="24"/>
          <w:szCs w:val="24"/>
        </w:rPr>
        <w:t>journaliers ou hebdomadaires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ComicSansMS" w:hAnsi="ComicSansMS" w:cs="ComicSansMS"/>
          <w:color w:val="000000"/>
          <w:sz w:val="24"/>
          <w:szCs w:val="24"/>
        </w:rPr>
        <w:t>éviter le fourre-tout affichage, obstacle aux repères visuels de l’enfant.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ComicSansMS" w:hAnsi="ComicSansMS" w:cs="ComicSansMS"/>
          <w:color w:val="000000"/>
          <w:sz w:val="24"/>
          <w:szCs w:val="24"/>
        </w:rPr>
        <w:t>Au final, laisser vivre un affichage qui correspond aux ap</w:t>
      </w:r>
      <w:r>
        <w:rPr>
          <w:rFonts w:ascii="ComicSansMS" w:hAnsi="ComicSansMS" w:cs="ComicSansMS"/>
          <w:color w:val="000000"/>
          <w:sz w:val="24"/>
          <w:szCs w:val="24"/>
        </w:rPr>
        <w:t>prentissages du moment. (</w:t>
      </w:r>
      <w:proofErr w:type="gramStart"/>
      <w:r>
        <w:rPr>
          <w:rFonts w:ascii="ComicSansMS" w:hAnsi="ComicSansMS" w:cs="ComicSansMS"/>
          <w:color w:val="000000"/>
          <w:sz w:val="24"/>
          <w:szCs w:val="24"/>
        </w:rPr>
        <w:t>voir</w:t>
      </w:r>
      <w:proofErr w:type="gramEnd"/>
      <w:r>
        <w:rPr>
          <w:rFonts w:ascii="ComicSansMS" w:hAnsi="ComicSansMS" w:cs="ComicSansMS"/>
          <w:color w:val="000000"/>
          <w:sz w:val="24"/>
          <w:szCs w:val="24"/>
        </w:rPr>
        <w:t xml:space="preserve"> à </w:t>
      </w:r>
      <w:r>
        <w:rPr>
          <w:rFonts w:ascii="ComicSansMS" w:hAnsi="ComicSansMS" w:cs="ComicSansMS"/>
          <w:color w:val="000000"/>
          <w:sz w:val="24"/>
          <w:szCs w:val="24"/>
        </w:rPr>
        <w:t>ce sujet, la thématique suivante : des affichages à lire, à vivre)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ComicSansMS" w:hAnsi="ComicSansMS" w:cs="ComicSansMS"/>
          <w:color w:val="000000"/>
          <w:sz w:val="24"/>
          <w:szCs w:val="24"/>
        </w:rPr>
        <w:t>Les autres coins s’égrènent autour du lieu central en suivant des critères d’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agencement particuliers </w:t>
      </w:r>
      <w:r>
        <w:rPr>
          <w:rFonts w:ascii="ComicSansMS" w:hAnsi="ComicSansMS" w:cs="ComicSansMS"/>
          <w:color w:val="000000"/>
          <w:sz w:val="24"/>
          <w:szCs w:val="24"/>
        </w:rPr>
        <w:t>: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une bonne délimitation de l’espace (par des meubles 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bas en guise de séparation, par </w:t>
      </w:r>
      <w:r>
        <w:rPr>
          <w:rFonts w:ascii="ComicSansMS" w:hAnsi="ComicSansMS" w:cs="ComicSansMS"/>
          <w:color w:val="000000"/>
          <w:sz w:val="24"/>
          <w:szCs w:val="24"/>
        </w:rPr>
        <w:t>un marquage au sol, constitué de linoléum de couleurs).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5"/>
          <w:szCs w:val="25"/>
        </w:rPr>
      </w:pPr>
      <w:r>
        <w:rPr>
          <w:rFonts w:ascii="ComicSansMS" w:hAnsi="ComicSansMS" w:cs="ComicSansMS"/>
          <w:color w:val="000000"/>
          <w:sz w:val="24"/>
          <w:szCs w:val="24"/>
        </w:rPr>
        <w:t>La délimitation (qui n’est pas l’enfermement), par la matéria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lisation de chaque espace-coin, </w:t>
      </w:r>
      <w:r>
        <w:rPr>
          <w:rFonts w:ascii="ComicSansMS" w:hAnsi="ComicSansMS" w:cs="ComicSansMS"/>
          <w:color w:val="000000"/>
          <w:sz w:val="24"/>
          <w:szCs w:val="24"/>
        </w:rPr>
        <w:t>permet de fixer une posture intellectuelle de l’élève sécuri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sante. Le vide est insécurisant </w:t>
      </w:r>
      <w:r>
        <w:rPr>
          <w:rFonts w:ascii="ComicSansMS" w:hAnsi="ComicSansMS" w:cs="ComicSansMS"/>
          <w:color w:val="000000"/>
          <w:sz w:val="24"/>
          <w:szCs w:val="24"/>
        </w:rPr>
        <w:t>et participe des difficultés de l’enfant à structurer ces actes en fonction d’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actions </w:t>
      </w:r>
      <w:r>
        <w:rPr>
          <w:rFonts w:ascii="ComicSansMS" w:hAnsi="ComicSansMS" w:cs="ComicSansMS"/>
          <w:color w:val="000000"/>
          <w:sz w:val="24"/>
          <w:szCs w:val="24"/>
        </w:rPr>
        <w:t>attendues dans un espace donné qui n’est pas, justement, identifié comme tel. L’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élève </w:t>
      </w:r>
      <w:r>
        <w:rPr>
          <w:rFonts w:ascii="ComicSansMS" w:hAnsi="ComicSansMS" w:cs="ComicSansMS"/>
          <w:color w:val="000000"/>
          <w:sz w:val="24"/>
          <w:szCs w:val="24"/>
        </w:rPr>
        <w:t>ayant reconnu l’espace dans toutes ces dimensions peut s’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inscrire dès lors dans une 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démarche d’apprentissage. « </w:t>
      </w:r>
      <w:r>
        <w:rPr>
          <w:rFonts w:ascii="ComicSansMS" w:hAnsi="ComicSansMS" w:cs="ComicSansMS"/>
          <w:color w:val="000000"/>
          <w:sz w:val="25"/>
          <w:szCs w:val="25"/>
        </w:rPr>
        <w:t>Je suis dans le coin sciences, car je l’ai reconnu et ai repéré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 </w:t>
      </w:r>
      <w:r>
        <w:rPr>
          <w:rFonts w:ascii="ComicSansMS" w:hAnsi="ComicSansMS" w:cs="ComicSansMS"/>
          <w:color w:val="000000"/>
          <w:sz w:val="25"/>
          <w:szCs w:val="25"/>
        </w:rPr>
        <w:t>les limites ».</w:t>
      </w: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5"/>
          <w:szCs w:val="25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5"/>
          <w:szCs w:val="25"/>
        </w:rPr>
      </w:pPr>
      <w:r w:rsidRPr="00560E97">
        <w:rPr>
          <w:rFonts w:ascii="ComicSansMS" w:hAnsi="ComicSansMS" w:cs="ComicSansMS"/>
          <w:noProof/>
          <w:color w:val="000000"/>
          <w:sz w:val="25"/>
          <w:szCs w:val="25"/>
          <w:lang w:eastAsia="fr-FR"/>
        </w:rPr>
        <w:lastRenderedPageBreak/>
        <w:drawing>
          <wp:inline distT="0" distB="0" distL="0" distR="0">
            <wp:extent cx="2959233" cy="1962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843" cy="19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SansMS" w:hAnsi="ComicSansMS" w:cs="ComicSansMS"/>
          <w:noProof/>
          <w:color w:val="000000"/>
          <w:sz w:val="25"/>
          <w:szCs w:val="25"/>
          <w:lang w:eastAsia="fr-FR"/>
        </w:rPr>
        <w:t xml:space="preserve">      </w:t>
      </w:r>
      <w:r w:rsidRPr="00560E97">
        <w:rPr>
          <w:rFonts w:ascii="ComicSansMS" w:hAnsi="ComicSansMS" w:cs="ComicSansMS"/>
          <w:noProof/>
          <w:color w:val="000000"/>
          <w:sz w:val="25"/>
          <w:szCs w:val="25"/>
          <w:lang w:eastAsia="fr-FR"/>
        </w:rPr>
        <w:drawing>
          <wp:inline distT="0" distB="0" distL="0" distR="0">
            <wp:extent cx="2999487" cy="19526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51" cy="19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97" w:rsidRPr="00560E97" w:rsidRDefault="00560E97" w:rsidP="00560E9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4"/>
          <w:szCs w:val="24"/>
        </w:rPr>
      </w:pPr>
    </w:p>
    <w:p w:rsid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ComicSansMS" w:hAnsi="ComicSansMS" w:cs="ComicSansMS"/>
          <w:color w:val="000000"/>
          <w:sz w:val="24"/>
          <w:szCs w:val="24"/>
        </w:rPr>
        <w:t>une organisation générale dictée par les logiques d’a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pprentissage et les contraintes </w:t>
      </w:r>
      <w:r>
        <w:rPr>
          <w:rFonts w:ascii="ComicSansMS" w:hAnsi="ComicSansMS" w:cs="ComicSansMS"/>
          <w:color w:val="000000"/>
          <w:sz w:val="24"/>
          <w:szCs w:val="24"/>
        </w:rPr>
        <w:t>architecturales (coin des doudous, transition entre la posture d’enfant et celui d’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élève </w:t>
      </w:r>
      <w:r>
        <w:rPr>
          <w:rFonts w:ascii="ComicSansMS" w:hAnsi="ComicSansMS" w:cs="ComicSansMS"/>
          <w:color w:val="000000"/>
          <w:sz w:val="24"/>
          <w:szCs w:val="24"/>
        </w:rPr>
        <w:t>à l’entrée de la classe, coins jeux dînette près des larges fenêtres où l’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affichage </w:t>
      </w:r>
      <w:r>
        <w:rPr>
          <w:rFonts w:ascii="ComicSansMS" w:hAnsi="ComicSansMS" w:cs="ComicSansMS"/>
          <w:color w:val="000000"/>
          <w:sz w:val="24"/>
          <w:szCs w:val="24"/>
        </w:rPr>
        <w:t>app</w:t>
      </w:r>
      <w:r>
        <w:rPr>
          <w:rFonts w:ascii="ComicSansMS" w:hAnsi="ComicSansMS" w:cs="ComicSansMS"/>
          <w:color w:val="000000"/>
          <w:sz w:val="24"/>
          <w:szCs w:val="24"/>
        </w:rPr>
        <w:t>rentissage est moins essentiel).</w:t>
      </w:r>
    </w:p>
    <w:p w:rsidR="00427434" w:rsidRPr="00560E97" w:rsidRDefault="00560E97" w:rsidP="00560E97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ComicSansMS" w:hAnsi="ComicSansMS" w:cs="ComicSansMS"/>
          <w:color w:val="000000"/>
          <w:sz w:val="24"/>
          <w:szCs w:val="24"/>
        </w:rPr>
        <w:t>des espaces didactiques identifiés : le coin du Temps, le coin de l’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Espace, le coin des </w:t>
      </w:r>
      <w:r>
        <w:rPr>
          <w:rFonts w:ascii="ComicSansMS" w:hAnsi="ComicSansMS" w:cs="ComicSansMS"/>
          <w:color w:val="000000"/>
          <w:sz w:val="24"/>
          <w:szCs w:val="24"/>
        </w:rPr>
        <w:t>Sciences, l’espace graphisme, le coin musique. On a priv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ilégié une entrée disciplinaire 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plutôt que d’action, ces fameux « espaces d’activité » 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(coin « écoute » renvoie à une </w:t>
      </w:r>
      <w:r>
        <w:rPr>
          <w:rFonts w:ascii="ComicSansMS" w:hAnsi="ComicSansMS" w:cs="ComicSansMS"/>
          <w:color w:val="000000"/>
          <w:sz w:val="24"/>
          <w:szCs w:val="24"/>
        </w:rPr>
        <w:t>compétence qui n’est pas spécifique à l’atelier musique ;</w:t>
      </w:r>
      <w:r>
        <w:rPr>
          <w:rFonts w:ascii="ComicSansMS" w:hAnsi="ComicSansMS" w:cs="ComicSansMS"/>
          <w:color w:val="000000"/>
          <w:sz w:val="24"/>
          <w:szCs w:val="24"/>
        </w:rPr>
        <w:t xml:space="preserve"> le coin manipulation sollicite </w:t>
      </w:r>
      <w:r>
        <w:rPr>
          <w:rFonts w:ascii="ComicSansMS" w:hAnsi="ComicSansMS" w:cs="ComicSansMS"/>
          <w:color w:val="000000"/>
          <w:sz w:val="24"/>
          <w:szCs w:val="24"/>
        </w:rPr>
        <w:t>des compétences que l’on retrouve dans de nombreux ate</w:t>
      </w:r>
      <w:r>
        <w:rPr>
          <w:rFonts w:ascii="ComicSansMS" w:hAnsi="ComicSansMS" w:cs="ComicSansMS"/>
          <w:color w:val="000000"/>
          <w:sz w:val="24"/>
          <w:szCs w:val="24"/>
        </w:rPr>
        <w:t>liers de la classe, tel le coin dînette ou coin constructions).</w:t>
      </w:r>
    </w:p>
    <w:sectPr w:rsidR="00427434" w:rsidRPr="00560E97" w:rsidSect="00560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97"/>
    <w:rsid w:val="00427434"/>
    <w:rsid w:val="00560E97"/>
    <w:rsid w:val="00A5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4E69"/>
  <w15:chartTrackingRefBased/>
  <w15:docId w15:val="{F028866D-71C1-438F-B124-82BB3AFB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SONN</dc:creator>
  <cp:keywords/>
  <dc:description/>
  <cp:lastModifiedBy>Karine SONN</cp:lastModifiedBy>
  <cp:revision>2</cp:revision>
  <dcterms:created xsi:type="dcterms:W3CDTF">2021-12-02T13:39:00Z</dcterms:created>
  <dcterms:modified xsi:type="dcterms:W3CDTF">2021-12-02T13:45:00Z</dcterms:modified>
</cp:coreProperties>
</file>